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998" w:type="pct"/>
        <w:jc w:val="center"/>
        <w:tblLayout w:type="fixed"/>
        <w:tblCellMar>
          <w:top w:w="0" w:type="dxa"/>
          <w:left w:w="108" w:type="dxa"/>
          <w:bottom w:w="0" w:type="dxa"/>
          <w:right w:w="108" w:type="dxa"/>
        </w:tblCellMar>
      </w:tblPr>
      <w:tblGrid>
        <w:gridCol w:w="484"/>
        <w:gridCol w:w="1118"/>
        <w:gridCol w:w="914"/>
        <w:gridCol w:w="4738"/>
        <w:gridCol w:w="1265"/>
      </w:tblGrid>
      <w:tr>
        <w:tblPrEx>
          <w:tblCellMar>
            <w:top w:w="0" w:type="dxa"/>
            <w:left w:w="108" w:type="dxa"/>
            <w:bottom w:w="0" w:type="dxa"/>
            <w:right w:w="108" w:type="dxa"/>
          </w:tblCellMar>
        </w:tblPrEx>
        <w:trPr>
          <w:trHeight w:val="23"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56" w:type="pct"/>
            <w:tcBorders>
              <w:top w:val="single" w:color="auto" w:sz="4" w:space="0"/>
              <w:left w:val="nil"/>
              <w:bottom w:val="single" w:color="auto" w:sz="4" w:space="0"/>
              <w:right w:val="single" w:color="auto" w:sz="4" w:space="0"/>
            </w:tcBorders>
            <w:vAlign w:val="center"/>
          </w:tcPr>
          <w:p>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p>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及权重</w:t>
            </w:r>
          </w:p>
        </w:tc>
        <w:tc>
          <w:tcPr>
            <w:tcW w:w="536" w:type="pct"/>
            <w:tcBorders>
              <w:top w:val="single" w:color="auto" w:sz="4" w:space="0"/>
              <w:left w:val="nil"/>
              <w:bottom w:val="single" w:color="auto" w:sz="4" w:space="0"/>
              <w:right w:val="single" w:color="auto" w:sz="4" w:space="0"/>
            </w:tcBorders>
            <w:vAlign w:val="center"/>
          </w:tcPr>
          <w:p>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2780" w:type="pct"/>
            <w:tcBorders>
              <w:top w:val="single" w:color="auto" w:sz="4" w:space="0"/>
              <w:left w:val="nil"/>
              <w:bottom w:val="single" w:color="auto" w:sz="4" w:space="0"/>
              <w:right w:val="single" w:color="auto" w:sz="4" w:space="0"/>
            </w:tcBorders>
            <w:vAlign w:val="center"/>
          </w:tcPr>
          <w:p>
            <w:pPr>
              <w:ind w:firstLine="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742" w:type="pct"/>
            <w:tcBorders>
              <w:top w:val="single" w:color="auto" w:sz="4" w:space="0"/>
              <w:left w:val="nil"/>
              <w:bottom w:val="single" w:color="auto" w:sz="4" w:space="0"/>
              <w:right w:val="single" w:color="auto" w:sz="4" w:space="0"/>
            </w:tcBorders>
            <w:vAlign w:val="center"/>
          </w:tcPr>
          <w:p>
            <w:pPr>
              <w:ind w:firstLine="28"/>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r>
      <w:tr>
        <w:tblPrEx>
          <w:tblCellMar>
            <w:top w:w="0" w:type="dxa"/>
            <w:left w:w="108" w:type="dxa"/>
            <w:bottom w:w="0" w:type="dxa"/>
            <w:right w:w="108" w:type="dxa"/>
          </w:tblCellMar>
        </w:tblPrEx>
        <w:trPr>
          <w:trHeight w:val="965"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6" w:type="pct"/>
            <w:tcBorders>
              <w:top w:val="single" w:color="auto" w:sz="4" w:space="0"/>
              <w:left w:val="nil"/>
              <w:bottom w:val="single" w:color="auto" w:sz="4" w:space="0"/>
              <w:right w:val="single" w:color="auto" w:sz="4" w:space="0"/>
            </w:tcBorders>
            <w:vAlign w:val="center"/>
          </w:tcPr>
          <w:p>
            <w:pPr>
              <w:shd w:val="clear"/>
              <w:spacing w:line="400" w:lineRule="exact"/>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536" w:type="pct"/>
            <w:tcBorders>
              <w:top w:val="single" w:color="auto" w:sz="4" w:space="0"/>
              <w:left w:val="nil"/>
              <w:bottom w:val="single" w:color="auto" w:sz="4" w:space="0"/>
              <w:right w:val="single" w:color="auto" w:sz="4" w:space="0"/>
            </w:tcBorders>
            <w:vAlign w:val="center"/>
          </w:tcPr>
          <w:p>
            <w:pPr>
              <w:shd w:val="clear"/>
              <w:spacing w:line="400" w:lineRule="exact"/>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780" w:type="pct"/>
            <w:tcBorders>
              <w:top w:val="single" w:color="auto" w:sz="4" w:space="0"/>
              <w:left w:val="nil"/>
              <w:bottom w:val="single" w:color="auto" w:sz="4" w:space="0"/>
              <w:right w:val="single" w:color="auto" w:sz="4" w:space="0"/>
            </w:tcBorders>
            <w:vAlign w:val="center"/>
          </w:tcPr>
          <w:p>
            <w:pPr>
              <w:pStyle w:val="2"/>
              <w:numPr>
                <w:ilvl w:val="0"/>
                <w:numId w:val="1"/>
              </w:numPr>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以本次经评审合格的最低报价为基准价，报价得分=(基准价／报价)×</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0%×100。(结果保留2位小数)</w:t>
            </w:r>
          </w:p>
          <w:p>
            <w:pPr>
              <w:pStyle w:val="2"/>
              <w:numPr>
                <w:ilvl w:val="0"/>
                <w:numId w:val="0"/>
              </w:numPr>
              <w:shd w:val="clear"/>
              <w:rPr>
                <w:rFonts w:hint="eastAsia" w:ascii="宋体" w:hAnsi="宋体" w:eastAsia="宋体" w:cs="宋体"/>
                <w:color w:val="auto"/>
                <w:kern w:val="2"/>
                <w:sz w:val="24"/>
                <w:szCs w:val="24"/>
                <w:highlight w:val="none"/>
                <w:lang w:val="en-US" w:eastAsia="zh-CN" w:bidi="ar-SA"/>
              </w:rPr>
            </w:pPr>
          </w:p>
        </w:tc>
        <w:tc>
          <w:tcPr>
            <w:tcW w:w="742" w:type="pct"/>
            <w:tcBorders>
              <w:top w:val="single" w:color="auto" w:sz="4" w:space="0"/>
              <w:left w:val="nil"/>
              <w:bottom w:val="single" w:color="auto" w:sz="4" w:space="0"/>
              <w:right w:val="single" w:color="auto" w:sz="4" w:space="0"/>
            </w:tcBorders>
            <w:vAlign w:val="center"/>
          </w:tcPr>
          <w:p>
            <w:pPr>
              <w:pStyle w:val="2"/>
              <w:numPr>
                <w:ilvl w:val="0"/>
                <w:numId w:val="0"/>
              </w:numPr>
              <w:shd w:val="clear"/>
              <w:rPr>
                <w:rFonts w:hint="eastAsia" w:ascii="宋体" w:hAnsi="宋体" w:eastAsia="宋体" w:cs="宋体"/>
                <w:color w:val="auto"/>
                <w:kern w:val="2"/>
                <w:sz w:val="24"/>
                <w:szCs w:val="24"/>
                <w:highlight w:val="none"/>
                <w:lang w:val="en-US" w:eastAsia="zh-CN" w:bidi="ar-SA"/>
              </w:rPr>
            </w:pPr>
          </w:p>
        </w:tc>
      </w:tr>
      <w:tr>
        <w:tblPrEx>
          <w:tblCellMar>
            <w:top w:w="0" w:type="dxa"/>
            <w:left w:w="108" w:type="dxa"/>
            <w:bottom w:w="0" w:type="dxa"/>
            <w:right w:w="108" w:type="dxa"/>
          </w:tblCellMar>
        </w:tblPrEx>
        <w:trPr>
          <w:trHeight w:val="23"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pPr>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656" w:type="pct"/>
            <w:tcBorders>
              <w:top w:val="single" w:color="auto" w:sz="4" w:space="0"/>
              <w:left w:val="nil"/>
              <w:bottom w:val="single" w:color="auto" w:sz="4" w:space="0"/>
              <w:right w:val="single" w:color="auto" w:sz="4" w:space="0"/>
            </w:tcBorders>
            <w:vAlign w:val="center"/>
          </w:tcPr>
          <w:p>
            <w:pPr>
              <w:widowControl/>
              <w:spacing w:line="300" w:lineRule="atLeast"/>
              <w:ind w:firstLine="2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技术指标</w:t>
            </w:r>
          </w:p>
          <w:p>
            <w:pPr>
              <w:widowControl/>
              <w:spacing w:line="300" w:lineRule="atLeast"/>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rPr>
              <w:t>和配置</w:t>
            </w:r>
            <w:r>
              <w:rPr>
                <w:rFonts w:hint="eastAsia" w:ascii="宋体" w:hAnsi="宋体" w:cs="宋体"/>
                <w:color w:val="auto"/>
                <w:kern w:val="0"/>
                <w:sz w:val="24"/>
                <w:szCs w:val="24"/>
                <w:lang w:val="en-US" w:eastAsia="zh-CN"/>
              </w:rPr>
              <w:t>50</w:t>
            </w:r>
            <w:r>
              <w:rPr>
                <w:rFonts w:hint="eastAsia" w:ascii="宋体" w:hAnsi="宋体" w:eastAsia="宋体" w:cs="宋体"/>
                <w:color w:val="auto"/>
                <w:kern w:val="0"/>
                <w:sz w:val="24"/>
                <w:szCs w:val="24"/>
              </w:rPr>
              <w:t>%</w:t>
            </w:r>
          </w:p>
        </w:tc>
        <w:tc>
          <w:tcPr>
            <w:tcW w:w="536" w:type="pct"/>
            <w:tcBorders>
              <w:top w:val="single" w:color="auto" w:sz="4" w:space="0"/>
              <w:left w:val="nil"/>
              <w:bottom w:val="single" w:color="auto" w:sz="4" w:space="0"/>
              <w:right w:val="single" w:color="auto" w:sz="4" w:space="0"/>
            </w:tcBorders>
            <w:vAlign w:val="center"/>
          </w:tcPr>
          <w:p>
            <w:pPr>
              <w:widowControl/>
              <w:spacing w:line="300" w:lineRule="atLeast"/>
              <w:ind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lang w:val="en-US" w:eastAsia="zh-CN"/>
              </w:rPr>
              <w:t>50</w:t>
            </w:r>
            <w:r>
              <w:rPr>
                <w:rFonts w:hint="eastAsia" w:ascii="宋体" w:hAnsi="宋体" w:eastAsia="宋体" w:cs="宋体"/>
                <w:color w:val="auto"/>
                <w:kern w:val="0"/>
                <w:sz w:val="24"/>
                <w:szCs w:val="24"/>
              </w:rPr>
              <w:t>分</w:t>
            </w:r>
          </w:p>
        </w:tc>
        <w:tc>
          <w:tcPr>
            <w:tcW w:w="2780" w:type="pct"/>
            <w:tcBorders>
              <w:top w:val="single" w:color="auto" w:sz="4" w:space="0"/>
              <w:left w:val="nil"/>
              <w:bottom w:val="single" w:color="auto" w:sz="4" w:space="0"/>
              <w:right w:val="single" w:color="auto" w:sz="4" w:space="0"/>
            </w:tcBorders>
            <w:vAlign w:val="center"/>
          </w:tcPr>
          <w:p>
            <w:pPr>
              <w:widowControl/>
              <w:spacing w:line="400" w:lineRule="atLeast"/>
              <w:ind w:firstLine="28"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rPr>
              <w:t>完全符合</w:t>
            </w:r>
            <w:r>
              <w:rPr>
                <w:rFonts w:hint="eastAsia" w:ascii="宋体" w:hAnsi="宋体" w:cs="宋体"/>
                <w:color w:val="auto"/>
                <w:kern w:val="0"/>
                <w:sz w:val="24"/>
                <w:szCs w:val="24"/>
                <w:lang w:eastAsia="zh-CN"/>
              </w:rPr>
              <w:t>比选</w:t>
            </w:r>
            <w:r>
              <w:rPr>
                <w:rFonts w:hint="eastAsia" w:ascii="宋体" w:hAnsi="宋体" w:eastAsia="宋体" w:cs="宋体"/>
                <w:color w:val="auto"/>
                <w:kern w:val="0"/>
                <w:sz w:val="24"/>
                <w:szCs w:val="24"/>
              </w:rPr>
              <w:t>文件</w:t>
            </w:r>
            <w:r>
              <w:rPr>
                <w:rFonts w:hint="eastAsia" w:ascii="宋体" w:hAnsi="宋体" w:cs="宋体"/>
                <w:color w:val="auto"/>
                <w:kern w:val="0"/>
                <w:sz w:val="24"/>
                <w:szCs w:val="24"/>
                <w:lang w:val="en-US" w:eastAsia="zh-CN"/>
              </w:rPr>
              <w:t>技术要求及商务要求</w:t>
            </w:r>
            <w:r>
              <w:rPr>
                <w:rFonts w:hint="eastAsia" w:ascii="宋体" w:hAnsi="宋体" w:eastAsia="宋体" w:cs="宋体"/>
                <w:color w:val="auto"/>
                <w:kern w:val="0"/>
                <w:sz w:val="24"/>
                <w:szCs w:val="24"/>
              </w:rPr>
              <w:t>得</w:t>
            </w:r>
            <w:r>
              <w:rPr>
                <w:rFonts w:hint="eastAsia" w:ascii="宋体" w:hAnsi="宋体" w:cs="宋体"/>
                <w:color w:val="auto"/>
                <w:kern w:val="0"/>
                <w:sz w:val="24"/>
                <w:szCs w:val="24"/>
                <w:lang w:val="en-US" w:eastAsia="zh-CN"/>
              </w:rPr>
              <w:t>50</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有负</w:t>
            </w:r>
            <w:r>
              <w:rPr>
                <w:rFonts w:hint="eastAsia" w:ascii="宋体" w:hAnsi="宋体" w:eastAsia="宋体" w:cs="宋体"/>
                <w:color w:val="auto"/>
                <w:kern w:val="0"/>
                <w:sz w:val="24"/>
                <w:szCs w:val="24"/>
              </w:rPr>
              <w:t>偏离的一项扣</w:t>
            </w:r>
            <w:r>
              <w:rPr>
                <w:rFonts w:hint="eastAsia" w:ascii="宋体" w:hAnsi="宋体" w:cs="宋体"/>
                <w:color w:val="auto"/>
                <w:kern w:val="0"/>
                <w:sz w:val="24"/>
                <w:szCs w:val="24"/>
                <w:lang w:val="en-US" w:eastAsia="zh-CN"/>
              </w:rPr>
              <w:t>5</w:t>
            </w:r>
            <w:bookmarkStart w:id="0" w:name="_GoBack"/>
            <w:bookmarkEnd w:id="0"/>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扣完为止</w:t>
            </w:r>
            <w:r>
              <w:rPr>
                <w:rFonts w:hint="eastAsia" w:ascii="宋体" w:hAnsi="宋体" w:eastAsia="宋体" w:cs="宋体"/>
                <w:color w:val="auto"/>
                <w:kern w:val="0"/>
                <w:sz w:val="24"/>
                <w:szCs w:val="24"/>
              </w:rPr>
              <w:t>。</w:t>
            </w:r>
          </w:p>
        </w:tc>
        <w:tc>
          <w:tcPr>
            <w:tcW w:w="742" w:type="pct"/>
            <w:tcBorders>
              <w:top w:val="single" w:color="auto" w:sz="4" w:space="0"/>
              <w:left w:val="nil"/>
              <w:bottom w:val="single" w:color="auto" w:sz="4" w:space="0"/>
              <w:right w:val="single" w:color="auto" w:sz="4" w:space="0"/>
            </w:tcBorders>
            <w:vAlign w:val="center"/>
          </w:tcPr>
          <w:p>
            <w:pPr>
              <w:widowControl/>
              <w:spacing w:line="400" w:lineRule="atLeast"/>
              <w:rPr>
                <w:rFonts w:hint="eastAsia" w:ascii="宋体" w:hAnsi="宋体" w:eastAsia="宋体" w:cs="宋体"/>
                <w:color w:val="auto"/>
                <w:kern w:val="2"/>
                <w:sz w:val="24"/>
                <w:szCs w:val="24"/>
                <w:highlight w:val="none"/>
                <w:lang w:val="en-US" w:eastAsia="zh-CN" w:bidi="ar-SA"/>
              </w:rPr>
            </w:pPr>
            <w:r>
              <w:rPr>
                <w:rFonts w:hint="eastAsia" w:ascii="宋体" w:hAnsi="宋体" w:cs="宋体"/>
                <w:kern w:val="0"/>
                <w:sz w:val="24"/>
                <w:szCs w:val="24"/>
                <w:lang w:val="en-US" w:eastAsia="zh-CN"/>
              </w:rPr>
              <w:t xml:space="preserve"> </w:t>
            </w:r>
          </w:p>
        </w:tc>
      </w:tr>
      <w:tr>
        <w:tblPrEx>
          <w:tblCellMar>
            <w:top w:w="0" w:type="dxa"/>
            <w:left w:w="108" w:type="dxa"/>
            <w:bottom w:w="0" w:type="dxa"/>
            <w:right w:w="108" w:type="dxa"/>
          </w:tblCellMar>
        </w:tblPrEx>
        <w:trPr>
          <w:trHeight w:val="23"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pPr>
              <w:ind w:firstLine="28"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56" w:type="pct"/>
            <w:tcBorders>
              <w:top w:val="single" w:color="auto" w:sz="4" w:space="0"/>
              <w:left w:val="nil"/>
              <w:bottom w:val="single" w:color="auto" w:sz="4" w:space="0"/>
              <w:right w:val="single" w:color="auto" w:sz="4" w:space="0"/>
            </w:tcBorders>
            <w:vAlign w:val="center"/>
          </w:tcPr>
          <w:p>
            <w:pPr>
              <w:pStyle w:val="3"/>
              <w:spacing w:line="24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售后服务</w:t>
            </w:r>
            <w:r>
              <w:rPr>
                <w:rFonts w:hint="eastAsia" w:ascii="宋体" w:hAnsi="宋体" w:cs="宋体"/>
                <w:sz w:val="24"/>
                <w:szCs w:val="24"/>
                <w:lang w:val="en-US" w:eastAsia="zh-CN"/>
              </w:rPr>
              <w:t>16%</w:t>
            </w:r>
          </w:p>
        </w:tc>
        <w:tc>
          <w:tcPr>
            <w:tcW w:w="536" w:type="pct"/>
            <w:tcBorders>
              <w:top w:val="single" w:color="auto" w:sz="4" w:space="0"/>
              <w:left w:val="nil"/>
              <w:bottom w:val="single" w:color="auto" w:sz="4" w:space="0"/>
              <w:right w:val="single" w:color="auto" w:sz="4" w:space="0"/>
            </w:tcBorders>
            <w:vAlign w:val="center"/>
          </w:tcPr>
          <w:p>
            <w:pPr>
              <w:pStyle w:val="3"/>
              <w:spacing w:line="240" w:lineRule="auto"/>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16%</w:t>
            </w:r>
          </w:p>
        </w:tc>
        <w:tc>
          <w:tcPr>
            <w:tcW w:w="2780" w:type="pct"/>
            <w:tcBorders>
              <w:top w:val="single" w:color="auto" w:sz="4" w:space="0"/>
              <w:left w:val="nil"/>
              <w:bottom w:val="single" w:color="auto" w:sz="4" w:space="0"/>
              <w:right w:val="single" w:color="auto" w:sz="4" w:space="0"/>
            </w:tcBorders>
            <w:vAlign w:val="center"/>
          </w:tcPr>
          <w:p>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提供针对本项目的售后服务方案，内容至少包括</w:t>
            </w:r>
            <w:r>
              <w:rPr>
                <w:rFonts w:hint="eastAsia" w:ascii="宋体" w:hAnsi="宋体" w:eastAsia="宋体" w:cs="宋体"/>
                <w:kern w:val="2"/>
                <w:sz w:val="24"/>
                <w:szCs w:val="24"/>
                <w:lang w:val="en-US" w:eastAsia="zh-CN"/>
              </w:rPr>
              <w:t>①</w:t>
            </w:r>
            <w:r>
              <w:rPr>
                <w:rFonts w:hint="eastAsia" w:ascii="宋体" w:hAnsi="宋体" w:eastAsia="宋体" w:cs="宋体"/>
                <w:kern w:val="2"/>
                <w:sz w:val="24"/>
                <w:szCs w:val="24"/>
              </w:rPr>
              <w:t>服务承诺、</w:t>
            </w:r>
            <w:r>
              <w:rPr>
                <w:rFonts w:hint="default" w:ascii="宋体" w:hAnsi="宋体" w:eastAsia="宋体" w:cs="宋体"/>
                <w:kern w:val="2"/>
                <w:sz w:val="24"/>
                <w:szCs w:val="24"/>
              </w:rPr>
              <w:t>②</w:t>
            </w:r>
            <w:r>
              <w:rPr>
                <w:rFonts w:hint="eastAsia" w:ascii="宋体" w:hAnsi="宋体" w:eastAsia="宋体" w:cs="宋体"/>
                <w:kern w:val="2"/>
                <w:sz w:val="24"/>
                <w:szCs w:val="24"/>
              </w:rPr>
              <w:t>服务条款、</w:t>
            </w:r>
            <w:r>
              <w:rPr>
                <w:rFonts w:hint="default" w:ascii="宋体" w:hAnsi="宋体" w:eastAsia="宋体" w:cs="宋体"/>
                <w:kern w:val="2"/>
                <w:sz w:val="24"/>
                <w:szCs w:val="24"/>
              </w:rPr>
              <w:t>③</w:t>
            </w:r>
            <w:r>
              <w:rPr>
                <w:rFonts w:hint="eastAsia" w:ascii="宋体" w:hAnsi="宋体" w:eastAsia="宋体" w:cs="宋体"/>
                <w:kern w:val="2"/>
                <w:sz w:val="24"/>
                <w:szCs w:val="24"/>
              </w:rPr>
              <w:t>响应方案、④质保期限、⑤备件（易耗品）供应方案</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⑥服务人员配备</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⑦应急措施</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⑧质保外</w:t>
            </w:r>
            <w:r>
              <w:rPr>
                <w:rFonts w:hint="eastAsia" w:ascii="宋体" w:hAnsi="宋体" w:cs="宋体"/>
                <w:kern w:val="2"/>
                <w:sz w:val="24"/>
                <w:szCs w:val="24"/>
                <w:lang w:val="en-US" w:eastAsia="zh-CN"/>
              </w:rPr>
              <w:t>服务措施，</w:t>
            </w:r>
            <w:r>
              <w:rPr>
                <w:rFonts w:hint="eastAsia" w:ascii="宋体" w:hAnsi="宋体" w:eastAsia="宋体" w:cs="宋体"/>
                <w:kern w:val="2"/>
                <w:sz w:val="24"/>
                <w:szCs w:val="24"/>
                <w:lang w:eastAsia="zh-CN"/>
              </w:rPr>
              <w:t>以上内容完整，且符合本项目需求的得</w:t>
            </w:r>
            <w:r>
              <w:rPr>
                <w:rFonts w:hint="eastAsia" w:ascii="宋体" w:hAnsi="宋体" w:cs="宋体"/>
                <w:kern w:val="2"/>
                <w:sz w:val="24"/>
                <w:szCs w:val="24"/>
                <w:lang w:val="en-US" w:eastAsia="zh-CN"/>
              </w:rPr>
              <w:t>16</w:t>
            </w:r>
            <w:r>
              <w:rPr>
                <w:rFonts w:hint="eastAsia" w:ascii="宋体" w:hAnsi="宋体" w:eastAsia="宋体" w:cs="宋体"/>
                <w:kern w:val="2"/>
                <w:sz w:val="24"/>
                <w:szCs w:val="24"/>
                <w:lang w:eastAsia="zh-CN"/>
              </w:rPr>
              <w:t>分，每有一部分缺项或每有一部分有缺陷不合理或每有一部分不利于本项目实施的扣</w:t>
            </w:r>
            <w:r>
              <w:rPr>
                <w:rFonts w:hint="eastAsia" w:ascii="宋体" w:hAnsi="宋体" w:cs="宋体"/>
                <w:kern w:val="2"/>
                <w:sz w:val="24"/>
                <w:szCs w:val="24"/>
                <w:lang w:val="en-US" w:eastAsia="zh-CN"/>
              </w:rPr>
              <w:t>2</w:t>
            </w:r>
            <w:r>
              <w:rPr>
                <w:rFonts w:hint="eastAsia" w:ascii="宋体" w:hAnsi="宋体" w:eastAsia="宋体" w:cs="宋体"/>
                <w:kern w:val="2"/>
                <w:sz w:val="24"/>
                <w:szCs w:val="24"/>
                <w:lang w:eastAsia="zh-CN"/>
              </w:rPr>
              <w:t>分，扣完为止。</w:t>
            </w:r>
          </w:p>
        </w:tc>
        <w:tc>
          <w:tcPr>
            <w:tcW w:w="742" w:type="pct"/>
            <w:tcBorders>
              <w:top w:val="single" w:color="auto" w:sz="4" w:space="0"/>
              <w:left w:val="nil"/>
              <w:bottom w:val="single" w:color="auto" w:sz="4" w:space="0"/>
              <w:right w:val="single" w:color="auto" w:sz="4" w:space="0"/>
            </w:tcBorders>
            <w:vAlign w:val="center"/>
          </w:tcPr>
          <w:p>
            <w:pPr>
              <w:widowControl/>
              <w:spacing w:line="400" w:lineRule="atLeas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3"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28" w:firstLineChars="0"/>
              <w:jc w:val="center"/>
              <w:rPr>
                <w:rFonts w:hint="default" w:ascii="宋体" w:hAnsi="宋体" w:eastAsia="宋体" w:cs="宋体"/>
                <w:b/>
                <w:kern w:val="2"/>
                <w:sz w:val="24"/>
                <w:szCs w:val="24"/>
                <w:lang w:val="en-US" w:eastAsia="zh-CN" w:bidi="ar-SA"/>
              </w:rPr>
            </w:pPr>
            <w:r>
              <w:rPr>
                <w:rFonts w:hint="eastAsia" w:ascii="宋体" w:hAnsi="宋体" w:cs="宋体"/>
                <w:b/>
                <w:sz w:val="24"/>
                <w:szCs w:val="24"/>
                <w:lang w:val="en-US" w:eastAsia="zh-CN"/>
              </w:rPr>
              <w:t>4</w:t>
            </w:r>
          </w:p>
        </w:tc>
        <w:tc>
          <w:tcPr>
            <w:tcW w:w="656" w:type="pct"/>
            <w:tcBorders>
              <w:top w:val="single" w:color="auto" w:sz="4" w:space="0"/>
              <w:left w:val="nil"/>
              <w:bottom w:val="single" w:color="auto" w:sz="4" w:space="0"/>
              <w:right w:val="single" w:color="auto" w:sz="4" w:space="0"/>
            </w:tcBorders>
            <w:vAlign w:val="center"/>
          </w:tcPr>
          <w:p>
            <w:pPr>
              <w:pStyle w:val="5"/>
              <w:spacing w:before="0" w:beforeAutospacing="0" w:after="0" w:afterAutospacing="0" w:line="240" w:lineRule="auto"/>
              <w:jc w:val="center"/>
              <w:rPr>
                <w:rFonts w:hint="eastAsia" w:ascii="宋体" w:hAnsi="宋体" w:eastAsia="宋体" w:cs="宋体"/>
                <w:kern w:val="0"/>
                <w:sz w:val="24"/>
                <w:szCs w:val="24"/>
                <w:lang w:val="zh-TW" w:eastAsia="zh-TW" w:bidi="ar-SA"/>
              </w:rPr>
            </w:pPr>
            <w:r>
              <w:rPr>
                <w:rFonts w:hint="eastAsia" w:ascii="宋体" w:hAnsi="宋体" w:eastAsia="宋体" w:cs="宋体"/>
                <w:sz w:val="24"/>
                <w:szCs w:val="24"/>
              </w:rPr>
              <w:t>业绩</w:t>
            </w:r>
            <w:r>
              <w:rPr>
                <w:rFonts w:hint="eastAsia" w:ascii="宋体" w:hAnsi="宋体" w:cs="宋体"/>
                <w:sz w:val="24"/>
                <w:szCs w:val="24"/>
                <w:lang w:val="en-US" w:eastAsia="zh-CN"/>
              </w:rPr>
              <w:t>4</w:t>
            </w:r>
            <w:r>
              <w:rPr>
                <w:rFonts w:hint="eastAsia" w:ascii="宋体" w:hAnsi="宋体" w:eastAsia="宋体" w:cs="宋体"/>
                <w:sz w:val="24"/>
                <w:szCs w:val="24"/>
              </w:rPr>
              <w:t>%</w:t>
            </w:r>
          </w:p>
        </w:tc>
        <w:tc>
          <w:tcPr>
            <w:tcW w:w="536" w:type="pct"/>
            <w:tcBorders>
              <w:top w:val="single" w:color="auto" w:sz="4" w:space="0"/>
              <w:left w:val="nil"/>
              <w:bottom w:val="single" w:color="auto" w:sz="4" w:space="0"/>
              <w:right w:val="single" w:color="auto" w:sz="4" w:space="0"/>
            </w:tcBorders>
            <w:vAlign w:val="center"/>
          </w:tcPr>
          <w:p>
            <w:pPr>
              <w:pStyle w:val="5"/>
              <w:spacing w:before="0" w:beforeAutospacing="0" w:after="0" w:afterAutospacing="0" w:line="240" w:lineRule="auto"/>
              <w:jc w:val="center"/>
              <w:rPr>
                <w:rFonts w:hint="eastAsia" w:ascii="宋体" w:hAnsi="宋体" w:eastAsia="宋体" w:cs="宋体"/>
                <w:kern w:val="0"/>
                <w:sz w:val="24"/>
                <w:szCs w:val="24"/>
                <w:lang w:val="en-US" w:eastAsia="zh-CN" w:bidi="ar-SA"/>
              </w:rPr>
            </w:pPr>
            <w:r>
              <w:rPr>
                <w:rFonts w:hint="eastAsia" w:ascii="宋体" w:hAnsi="宋体" w:cs="宋体"/>
                <w:sz w:val="24"/>
                <w:szCs w:val="24"/>
                <w:lang w:val="en-US" w:eastAsia="zh-CN"/>
              </w:rPr>
              <w:t>4</w:t>
            </w:r>
            <w:r>
              <w:rPr>
                <w:rFonts w:hint="eastAsia" w:ascii="宋体" w:hAnsi="宋体" w:eastAsia="宋体" w:cs="宋体"/>
                <w:sz w:val="24"/>
                <w:szCs w:val="24"/>
                <w:lang w:eastAsia="zh-CN"/>
              </w:rPr>
              <w:t>分</w:t>
            </w:r>
          </w:p>
        </w:tc>
        <w:tc>
          <w:tcPr>
            <w:tcW w:w="2780" w:type="pct"/>
            <w:tcBorders>
              <w:top w:val="single" w:color="auto" w:sz="4" w:space="0"/>
              <w:left w:val="nil"/>
              <w:bottom w:val="single" w:color="auto" w:sz="4" w:space="0"/>
              <w:right w:val="single" w:color="auto" w:sz="4" w:space="0"/>
            </w:tcBorders>
            <w:vAlign w:val="center"/>
          </w:tcPr>
          <w:p>
            <w:pPr>
              <w:pStyle w:val="5"/>
              <w:spacing w:before="0" w:beforeAutospacing="0" w:after="0" w:afterAutospacing="0" w:line="240" w:lineRule="auto"/>
              <w:ind w:firstLine="480" w:firstLineChars="200"/>
              <w:jc w:val="both"/>
              <w:rPr>
                <w:rFonts w:hint="eastAsia" w:ascii="宋体" w:hAnsi="宋体" w:eastAsia="宋体" w:cs="宋体"/>
                <w:kern w:val="0"/>
                <w:sz w:val="24"/>
                <w:szCs w:val="24"/>
                <w:lang w:val="zh-TW" w:eastAsia="zh-TW" w:bidi="ar-SA"/>
              </w:rPr>
            </w:pPr>
            <w:r>
              <w:rPr>
                <w:rFonts w:hint="eastAsia" w:ascii="宋体" w:hAnsi="宋体" w:eastAsia="宋体" w:cs="宋体"/>
                <w:sz w:val="24"/>
                <w:szCs w:val="24"/>
              </w:rPr>
              <w:t>2019年至今，供应商每提供一个类似的业绩得</w:t>
            </w:r>
            <w:r>
              <w:rPr>
                <w:rFonts w:hint="eastAsia" w:ascii="宋体" w:hAnsi="宋体" w:cs="宋体"/>
                <w:sz w:val="24"/>
                <w:szCs w:val="24"/>
                <w:lang w:val="en-US" w:eastAsia="zh-CN"/>
              </w:rPr>
              <w:t>1</w:t>
            </w:r>
            <w:r>
              <w:rPr>
                <w:rFonts w:hint="eastAsia" w:ascii="宋体" w:hAnsi="宋体" w:eastAsia="宋体" w:cs="宋体"/>
                <w:sz w:val="24"/>
                <w:szCs w:val="24"/>
              </w:rPr>
              <w:t>分，最高</w:t>
            </w:r>
            <w:r>
              <w:rPr>
                <w:rFonts w:hint="eastAsia" w:ascii="宋体" w:hAnsi="宋体" w:cs="宋体"/>
                <w:sz w:val="24"/>
                <w:szCs w:val="24"/>
                <w:lang w:val="en-US" w:eastAsia="zh-CN"/>
              </w:rPr>
              <w:t>4</w:t>
            </w:r>
            <w:r>
              <w:rPr>
                <w:rFonts w:hint="eastAsia" w:ascii="宋体" w:hAnsi="宋体" w:eastAsia="宋体" w:cs="宋体"/>
                <w:sz w:val="24"/>
                <w:szCs w:val="24"/>
              </w:rPr>
              <w:t>分，未提供不得分。（业绩提供合同扫描件）</w:t>
            </w:r>
          </w:p>
        </w:tc>
        <w:tc>
          <w:tcPr>
            <w:tcW w:w="742" w:type="pct"/>
            <w:tcBorders>
              <w:top w:val="single" w:color="auto" w:sz="4" w:space="0"/>
              <w:left w:val="nil"/>
              <w:bottom w:val="single" w:color="auto" w:sz="4" w:space="0"/>
              <w:right w:val="single" w:color="auto" w:sz="4" w:space="0"/>
            </w:tcBorders>
            <w:vAlign w:val="center"/>
          </w:tcPr>
          <w:p>
            <w:pPr>
              <w:widowControl/>
              <w:spacing w:line="400" w:lineRule="atLeast"/>
              <w:rPr>
                <w:rFonts w:hint="eastAsia" w:ascii="宋体" w:hAnsi="宋体" w:eastAsia="宋体"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377FF"/>
    <w:multiLevelType w:val="singleLevel"/>
    <w:tmpl w:val="3BD377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E17D9"/>
    <w:rsid w:val="107B7BD8"/>
    <w:rsid w:val="1BBA2ADA"/>
    <w:rsid w:val="1FB44D7A"/>
    <w:rsid w:val="27DF7C43"/>
    <w:rsid w:val="2E96171E"/>
    <w:rsid w:val="2FCE175A"/>
    <w:rsid w:val="30323BE5"/>
    <w:rsid w:val="35AA3B17"/>
    <w:rsid w:val="384E17D9"/>
    <w:rsid w:val="38A36299"/>
    <w:rsid w:val="47C415F2"/>
    <w:rsid w:val="52FF49CD"/>
    <w:rsid w:val="62286AC7"/>
    <w:rsid w:val="656A012A"/>
    <w:rsid w:val="6B2F7E67"/>
    <w:rsid w:val="714C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34"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List"/>
    <w:basedOn w:val="1"/>
    <w:next w:val="4"/>
    <w:qFormat/>
    <w:uiPriority w:val="34"/>
    <w:pPr>
      <w:ind w:firstLine="420" w:firstLineChars="200"/>
    </w:pPr>
    <w:rPr>
      <w:rFonts w:ascii="Calibri"/>
      <w:kern w:val="2"/>
      <w:sz w:val="21"/>
      <w:szCs w:val="24"/>
      <w:lang w:val="zh-CN" w:eastAsia="zh-CN"/>
    </w:rPr>
  </w:style>
  <w:style w:type="paragraph" w:styleId="4">
    <w:name w:val="List Paragraph"/>
    <w:basedOn w:val="1"/>
    <w:qFormat/>
    <w:uiPriority w:val="0"/>
    <w:pPr>
      <w:ind w:firstLine="420" w:firstLineChars="200"/>
    </w:p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18"/>
      <w:szCs w:val="18"/>
    </w:rPr>
  </w:style>
  <w:style w:type="paragraph" w:styleId="6">
    <w:name w:val="Body Text First Indent"/>
    <w:basedOn w:val="2"/>
    <w:qFormat/>
    <w:uiPriority w:val="99"/>
    <w:pPr>
      <w:tabs>
        <w:tab w:val="left" w:pos="780"/>
      </w:tabs>
      <w:spacing w:after="120"/>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2021-01-18T06:28:00Z</dcterms:created>
  <dc:creator>Administrator</dc:creator>
  <cp:lastModifiedBy>Administrator</cp:lastModifiedBy>
  <dcterms:modified xsi:type="dcterms:W3CDTF">2021-01-18T08:06:36Z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